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line="312"/>
      </w:pPr>
      <w:r>
        <w:rPr>
          <w:rFonts w:ascii="Roboto" w:cs="Roboto" w:eastAsia="Roboto" w:hAnsi="Roboto"/>
          <w:b/>
          <w:bCs/>
          <w:color w:val="9A7A2E"/>
          <w:spacing w:val="60"/>
          <w:sz w:val="16"/>
          <w:szCs w:val="16"/>
        </w:rPr>
        <w:t xml:space="preserve">MIQL · CROSS-TEAM OPERATING AGREEMENT</w:t>
      </w:r>
    </w:p>
    <w:p>
      <w:pPr>
        <w:spacing w:after="60" w:line="312"/>
      </w:pPr>
      <w:r>
        <w:rPr>
          <w:rFonts w:ascii="Roboto" w:cs="Roboto" w:eastAsia="Roboto" w:hAnsi="Roboto"/>
          <w:b/>
          <w:bCs/>
          <w:sz w:val="48"/>
          <w:szCs w:val="48"/>
        </w:rPr>
        <w:t xml:space="preserve">One framework,</w:t>
      </w:r>
    </w:p>
    <w:p>
      <w:pPr>
        <w:spacing w:after="240" w:line="312"/>
      </w:pPr>
      <w:r>
        <w:rPr>
          <w:rFonts w:ascii="Roboto" w:cs="Roboto" w:eastAsia="Roboto" w:hAnsi="Roboto"/>
          <w:b/>
          <w:bCs/>
          <w:i/>
          <w:iCs/>
          <w:color w:val="9A7A2E"/>
          <w:sz w:val="48"/>
          <w:szCs w:val="48"/>
        </w:rPr>
        <w:t xml:space="preserve">three teams, three uses.</w:t>
      </w:r>
    </w:p>
    <w:p>
      <w:pPr>
        <w:spacing w:after="240" w:line="312"/>
      </w:pPr>
      <w:r>
        <w:rPr>
          <w:rFonts w:ascii="Roboto" w:cs="Roboto" w:eastAsia="Roboto" w:hAnsi="Roboto"/>
          <w:i/>
          <w:iCs/>
          <w:color w:val="555555"/>
          <w:sz w:val="22"/>
          <w:szCs w:val="22"/>
        </w:rPr>
        <w:t xml:space="preserve">How Sales, SE, and Customer Success use MIQL together to forecast, gate, and renew on the same evidence.</w:t>
      </w:r>
    </w:p>
    <w:p>
      <w:pPr>
        <w:pBdr>
          <w:bottom w:val="single" w:color="C9A96E" w:sz="8" w:space="6"/>
        </w:pBdr>
        <w:spacing w:after="240" w:before="120"/>
      </w:pPr>
      <w:r>
        <w:t xml:space="preserve"/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The agreement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MIQL is the shared inspection layer for the revenue function. The five pillars (Outcome, Maps, Insight, Quantify, Leadership) are the same across all three teams. The 2 / 1 / 0 scoring is the same. The audit at miql.com/audit is the same.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What changes is the use. Each team applies MIQL at the moment that matters most for their accountability.</w:t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Sales: forecast inspection</w:t>
      </w:r>
    </w:p>
    <w:p>
      <w:pPr>
        <w:spacing w:after="60" w:line="312"/>
      </w:pPr>
      <w:r>
        <w:rPr>
          <w:rFonts w:ascii="Roboto" w:cs="Roboto" w:eastAsia="Roboto" w:hAnsi="Roboto"/>
          <w:b/>
          <w:bCs/>
          <w:color w:val="9A7A2E"/>
          <w:spacing w:val="60"/>
          <w:sz w:val="16"/>
          <w:szCs w:val="16"/>
        </w:rPr>
        <w:t xml:space="preserve">WEEKLY DEAL REVIEWS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AEs and Sales Managers use MIQL as the inspection layer for forecast categorization. Every deal forecasted as Best Case or Commit must have a MIQL score on the deal record before the review. The lowest pillar opens the conversation. Forecast categories follow the score, not the gut.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Score required. </w:t>
      </w:r>
      <w:r>
        <w:rPr>
          <w:rFonts w:ascii="Roboto" w:cs="Roboto" w:eastAsia="Roboto" w:hAnsi="Roboto"/>
          <w:sz w:val="20"/>
          <w:szCs w:val="20"/>
        </w:rPr>
        <w:t xml:space="preserve">Pre-read for every deal review includes the MIQL score. No score, no review.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Lowest pillar opens the conversation. </w:t>
      </w:r>
      <w:r>
        <w:rPr>
          <w:rFonts w:ascii="Roboto" w:cs="Roboto" w:eastAsia="Roboto" w:hAnsi="Roboto"/>
          <w:sz w:val="20"/>
          <w:szCs w:val="20"/>
        </w:rPr>
        <w:t xml:space="preserve">The manager asks for evidence on the lowest pillar first. Story comes second, if at all.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Forecast follows the score. </w:t>
      </w:r>
      <w:r>
        <w:rPr>
          <w:rFonts w:ascii="Roboto" w:cs="Roboto" w:eastAsia="Roboto" w:hAnsi="Roboto"/>
          <w:sz w:val="20"/>
          <w:szCs w:val="20"/>
        </w:rPr>
        <w:t xml:space="preserve">Commit requires 8 or higher with O=2 and L=2. Best Case requires 6 or 7. Below 6 the deal is Pipeline, regardless of close date.</w:t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SE: POV approval gate</w:t>
      </w:r>
    </w:p>
    <w:p>
      <w:pPr>
        <w:spacing w:after="60" w:line="312"/>
      </w:pPr>
      <w:r>
        <w:rPr>
          <w:rFonts w:ascii="Roboto" w:cs="Roboto" w:eastAsia="Roboto" w:hAnsi="Roboto"/>
          <w:b/>
          <w:bCs/>
          <w:color w:val="9A7A2E"/>
          <w:spacing w:val="60"/>
          <w:sz w:val="16"/>
          <w:szCs w:val="16"/>
        </w:rPr>
        <w:t xml:space="preserve">STAGE 2 TO STAGE 3 TRANSITIONS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The SE Director uses MIQL as the filter for releasing SE hours on POV (Proof of Value) requests. The structural floors are O=2, Q=2, M≥1, with a total of 6 or higher. Below the floors, the POV is deferred until the work is done.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Floors are non-negotiable. </w:t>
      </w:r>
      <w:r>
        <w:rPr>
          <w:rFonts w:ascii="Roboto" w:cs="Roboto" w:eastAsia="Roboto" w:hAnsi="Roboto"/>
          <w:sz w:val="20"/>
          <w:szCs w:val="20"/>
        </w:rPr>
        <w:t xml:space="preserve">O=2 and Q=2 are hard floors. No exceptions. M=0 is a soft floor that can be cleared by L=2 (Executive-Led path).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Three approval states. </w:t>
      </w:r>
      <w:r>
        <w:rPr>
          <w:rFonts w:ascii="Roboto" w:cs="Roboto" w:eastAsia="Roboto" w:hAnsi="Roboto"/>
          <w:sz w:val="20"/>
          <w:szCs w:val="20"/>
        </w:rPr>
        <w:t xml:space="preserve">Approved (≥8). Approved with conditions (6–7 with floors met). Deferred (anything below).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Deferral is not denial. </w:t>
      </w:r>
      <w:r>
        <w:rPr>
          <w:rFonts w:ascii="Roboto" w:cs="Roboto" w:eastAsia="Roboto" w:hAnsi="Roboto"/>
          <w:sz w:val="20"/>
          <w:szCs w:val="20"/>
        </w:rPr>
        <w:t xml:space="preserve">A deferred POV is paused, not rejected. The SE Director gives the AE specific work to do to clear the floors. The audit gets rescored when the work is complete.</w:t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CS: renewal forecast</w:t>
      </w:r>
    </w:p>
    <w:p>
      <w:pPr>
        <w:spacing w:after="60" w:line="312"/>
      </w:pPr>
      <w:r>
        <w:rPr>
          <w:rFonts w:ascii="Roboto" w:cs="Roboto" w:eastAsia="Roboto" w:hAnsi="Roboto"/>
          <w:b/>
          <w:bCs/>
          <w:color w:val="9A7A2E"/>
          <w:spacing w:val="60"/>
          <w:sz w:val="16"/>
          <w:szCs w:val="16"/>
        </w:rPr>
        <w:t xml:space="preserve">WEEKLY RENEWAL REVIEWS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CSMs and Renewals Managers use MIQL as the inspection layer for renewal forecasts. The five pillars get applied to the renewal cycle. The most common silent failure mode is L=0, the original economic sponsor has gone silent at the level that signs the renewal, while the relationship feels healthy at the user level. MIQL surfaces it.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Renewals score quarterly minimum. </w:t>
      </w:r>
      <w:r>
        <w:rPr>
          <w:rFonts w:ascii="Roboto" w:cs="Roboto" w:eastAsia="Roboto" w:hAnsi="Roboto"/>
          <w:sz w:val="20"/>
          <w:szCs w:val="20"/>
        </w:rPr>
        <w:t xml:space="preserve">Every renewal in the next two quarters has a current MIQL score in the deal record.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Sponsor engagement is structural. </w:t>
      </w:r>
      <w:r>
        <w:rPr>
          <w:rFonts w:ascii="Roboto" w:cs="Roboto" w:eastAsia="Roboto" w:hAnsi="Roboto"/>
          <w:sz w:val="20"/>
          <w:szCs w:val="20"/>
        </w:rPr>
        <w:t xml:space="preserve">L=0 on a renewal is a red flag regardless of usage data. Get the sponsor meeting on the calendar.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Cost of switching is the renewal Q. </w:t>
      </w:r>
      <w:r>
        <w:rPr>
          <w:rFonts w:ascii="Roboto" w:cs="Roboto" w:eastAsia="Roboto" w:hAnsi="Roboto"/>
          <w:sz w:val="20"/>
          <w:szCs w:val="20"/>
        </w:rPr>
        <w:t xml:space="preserve">Q is not cost of inaction in renewals. It is cost of switching, validated by the customer.</w:t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Shared accountability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The three teams share the audit as a neutral artifact. When a deal moves between teams, the MIQL history goes with it.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Sales to SE. </w:t>
      </w:r>
      <w:r>
        <w:rPr>
          <w:rFonts w:ascii="Roboto" w:cs="Roboto" w:eastAsia="Roboto" w:hAnsi="Roboto"/>
          <w:sz w:val="20"/>
          <w:szCs w:val="20"/>
        </w:rPr>
        <w:t xml:space="preserve">The MIQL score at stage 2 to stage 3 transition is the gate input. The SE Director can see the evolution from earlier scores.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Sales to CS. </w:t>
      </w:r>
      <w:r>
        <w:rPr>
          <w:rFonts w:ascii="Roboto" w:cs="Roboto" w:eastAsia="Roboto" w:hAnsi="Roboto"/>
          <w:sz w:val="20"/>
          <w:szCs w:val="20"/>
        </w:rPr>
        <w:t xml:space="preserve">At deal close, the MIQL score handoff seeds the CS team's renewal scoring. A weak Q at original sale predicts a weak renewal Q 12 months later. Surface it early.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CS to Sales for expansion. </w:t>
      </w:r>
      <w:r>
        <w:rPr>
          <w:rFonts w:ascii="Roboto" w:cs="Roboto" w:eastAsia="Roboto" w:hAnsi="Roboto"/>
          <w:sz w:val="20"/>
          <w:szCs w:val="20"/>
        </w:rPr>
        <w:t xml:space="preserve">When a CSM scores a renewal account at 8 or higher with strong I and Q, that is the AE's expansion lead. Hand it back.</w:t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Co-signed by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_____________________________  VP Sales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_____________________________  VP Sales Engineering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_____________________________  VP Customer Success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Effective: ____________________</w:t>
      </w:r>
    </w:p>
    <w:p>
      <w:pPr>
        <w:pBdr>
          <w:bottom w:val="single" w:color="C9A96E" w:sz="8" w:space="6"/>
        </w:pBdr>
        <w:spacing w:after="240" w:before="120"/>
      </w:pPr>
      <w:r>
        <w:t xml:space="preserve"/>
      </w:r>
    </w:p>
    <w:p>
      <w:pPr>
        <w:spacing w:before="240"/>
        <w:jc w:val="center"/>
      </w:pPr>
      <w:r>
        <w:rPr>
          <w:rFonts w:ascii="Roboto" w:cs="Roboto" w:eastAsia="Roboto" w:hAnsi="Roboto"/>
          <w:i/>
          <w:iCs/>
          <w:color w:val="777777"/>
          <w:sz w:val="16"/>
          <w:szCs w:val="16"/>
        </w:rPr>
        <w:t xml:space="preserve">miql.com/audit · The Revenue Operating System · Velocity Haus Publishing LLC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MIQL · CROSS-TEAM OPERATING AGREEMENT</dc:title>
  <dc:creator>Shane Winnyk</dc:creator>
  <cp:lastModifiedBy>Un-named</cp:lastModifiedBy>
  <cp:revision>1</cp:revision>
  <dcterms:created xsi:type="dcterms:W3CDTF">2026-05-08T02:01:01.350Z</dcterms:created>
  <dcterms:modified xsi:type="dcterms:W3CDTF">2026-05-08T02:01:01.350Z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